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Recherche en Psychanalyse et rencontres cliniques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Dans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«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conversations ordinaires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»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, publi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chez Gallimard en 1988, Winnicott transmet sa conception de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«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la recherche en psychanalyse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»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Voici un extrait de cet article passionnant et, je pense, d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actualit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é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i w:val="0"/>
          <w:iCs w:val="0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« 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On ne fait pas d</w:t>
      </w: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vier un traitement pour les besoins de la recherche, et jamais le cadre d</w:t>
      </w: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une observation ne peut </w:t>
      </w: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ê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tre reproduit. Le mieux est que l</w:t>
      </w: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analyste regarde en arri</w:t>
      </w: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re pour voir ce qui s</w:t>
      </w: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est pass</w:t>
      </w: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, le compare </w:t>
      </w: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la th</w:t>
      </w: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orie et modifie la th</w:t>
      </w: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orie en cons</w:t>
      </w:r>
      <w:r>
        <w:rPr>
          <w:rFonts w:ascii="Helvetica" w:hAnsi="Helvetica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quence</w:t>
      </w:r>
      <w:r>
        <w:rPr>
          <w:rStyle w:val="Aucun"/>
          <w:rFonts w:ascii="Helvetica" w:hAnsi="Helvetica"/>
          <w:i w:val="0"/>
          <w:iCs w:val="0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.</w:t>
      </w:r>
      <w:r>
        <w:rPr>
          <w:rStyle w:val="Aucun"/>
          <w:rFonts w:ascii="Helvetica" w:hAnsi="Helvetica" w:hint="default"/>
          <w:i w:val="0"/>
          <w:iCs w:val="0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»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Notre monde n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est plus celui dans lequel vivait Winnicott, mais il n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est plus, non plus, celui des ann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es 1970, 1980, 1990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…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EN 2022. Et, nous savons, les uns et les autres, le refus de faire une place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cette pens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e dans la question du soin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la folie - la science seule aurait le savoir. Mais quel savoir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? Par ailleurs, la psychanalyse, se trouve, aussi, mise en place de savoir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: c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est alors, un savoir fig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qui perd l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apport sp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cifique de la pens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 analytique, sa capacit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de cr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er cet espace dont parle Maldiney, ce qui surprend, surgit et cr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 un espace et, de ce fait, espace pour le mouvement de la pens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Les analystes des ann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es cit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es plus haut sont oblig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s de reconna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î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tre qu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ils ne vivent pas dans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m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ê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me monde que les analystes des ann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es 2010 /2020, 22 ,23.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En ce sens, j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ai pens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proposer un groupe de 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fl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xion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partir de la clinique de ceux qui, analystes travaillent et en institution et dans leur cabinet, ou, des personnes exer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ç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ant comme psychologues en formation analytique, dans un cadre institutionnel.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Ce groupe serait un espace pour une d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marche de recherche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partir de la clinique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: qu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il 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agisse des engagements dans les entretiens ou psychoth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rapies, ou du fonctionnement institutionnel.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La recherche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: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 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Comment faire place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la pens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 analytique, sa transmission, et son exercice m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ê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me quand le cadre institutionnel ne lui fait pas de place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? La question devient alors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inventer, comment, pouvons- nous inventer, ouvrir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cette pens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 en ce cadre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institutionnel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zh-TW" w:eastAsia="zh-TW"/>
          <w14:textFill>
            <w14:solidFill>
              <w14:srgbClr w14:val="201F1E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Le rythme de cette 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flexion est 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  <w:r>
        <w:rPr>
          <w:rStyle w:val="Aucun"/>
          <w:rFonts w:ascii="Times New Roman" w:hAnsi="Times New Roman" w:hint="default"/>
          <w:outline w:val="0"/>
          <w:color w:val="1f1f1e"/>
          <w:sz w:val="19"/>
          <w:szCs w:val="1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     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Des rencontres 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guli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è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res une fois par mois (8/10 personnes)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f1f1e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01F1E"/>
            </w14:solidFill>
          </w14:textFill>
        </w:rPr>
        <w:t>·</w:t>
      </w:r>
      <w:r>
        <w:rPr>
          <w:rStyle w:val="Aucun"/>
          <w:rFonts w:ascii="Times New Roman" w:hAnsi="Times New Roman" w:hint="default"/>
          <w:outline w:val="0"/>
          <w:color w:val="1f1f1e"/>
          <w:sz w:val="19"/>
          <w:szCs w:val="1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    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A partir de la clinique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: clinique de la vie institutionnelle, conception de la folie dans l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institution, analyse de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«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rencontres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 xml:space="preserve"> »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avec des patients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l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h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ô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pital, des prises en charges de groupes th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rapeutiques. Ce qui, au psychanalyste pose la question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: comment transmettre sa pens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01F1E"/>
            </w14:solidFill>
          </w14:textFill>
        </w:rPr>
        <w:t>e qu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elle puisse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ê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tre entendue et ouvrir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la 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flexion et l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invention.</w:t>
      </w:r>
    </w:p>
    <w:p>
      <w:pPr>
        <w:pStyle w:val="Par défaut"/>
        <w:bidi w:val="0"/>
        <w:spacing w:before="0" w:line="240" w:lineRule="auto"/>
        <w:ind w:left="960" w:right="0" w:hanging="96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f1f1e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01F1E"/>
            </w14:solidFill>
          </w14:textFill>
        </w:rPr>
        <w:t>·</w:t>
      </w:r>
      <w:r>
        <w:rPr>
          <w:rStyle w:val="Aucun"/>
          <w:rFonts w:ascii="Times New Roman" w:hAnsi="Times New Roman" w:hint="default"/>
          <w:outline w:val="0"/>
          <w:color w:val="1f1f1e"/>
          <w:sz w:val="19"/>
          <w:szCs w:val="1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    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Pour ce faire, voici le cadre :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f1f1e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01F1E"/>
            </w14:solidFill>
          </w14:textFill>
        </w:rPr>
        <w:t>·</w:t>
      </w:r>
      <w:r>
        <w:rPr>
          <w:rStyle w:val="Aucun"/>
          <w:rFonts w:ascii="Times New Roman" w:hAnsi="Times New Roman" w:hint="default"/>
          <w:outline w:val="0"/>
          <w:color w:val="1f1f1e"/>
          <w:sz w:val="19"/>
          <w:szCs w:val="1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     </w:t>
      </w:r>
      <w:r>
        <w:rPr>
          <w:rStyle w:val="Aucun"/>
          <w:rFonts w:ascii="Helvetica" w:hAnsi="Helvetica"/>
          <w:outline w:val="0"/>
          <w:color w:val="1f1f1e"/>
          <w:sz w:val="28"/>
          <w:szCs w:val="28"/>
          <w:u w:val="singl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1</w:t>
      </w:r>
      <w:r>
        <w:rPr>
          <w:rStyle w:val="Aucun"/>
          <w:rFonts w:ascii="Helvetica" w:hAnsi="Helvetica"/>
          <w:outline w:val="0"/>
          <w:color w:val="1f1f1e"/>
          <w:sz w:val="23"/>
          <w:szCs w:val="23"/>
          <w:u w:val="single"/>
          <w:shd w:val="clear" w:color="auto" w:fill="ffffff"/>
          <w:vertAlign w:val="superscript"/>
          <w:rtl w:val="0"/>
          <w14:textFill>
            <w14:solidFill>
              <w14:srgbClr w14:val="201F1E"/>
            </w14:solidFill>
          </w14:textFill>
        </w:rPr>
        <w:t>er</w:t>
      </w:r>
      <w:r>
        <w:rPr>
          <w:rStyle w:val="Aucun"/>
          <w:rFonts w:ascii="Helvetica" w:hAnsi="Helvetica"/>
          <w:outline w:val="0"/>
          <w:color w:val="1f1f1e"/>
          <w:sz w:val="28"/>
          <w:szCs w:val="28"/>
          <w:u w:val="singl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rencontre: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une personne pr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sente un cas clinique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: nous pensons, cherchons ensemble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; avant de se 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parer, nous pr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cisons, parmi les 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f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rences th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oriques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voqu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s au fil de la recherche, quel texte nous choisissons de lire ou relire.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f1f1e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01F1E"/>
            </w14:solidFill>
          </w14:textFill>
        </w:rPr>
        <w:t>·</w:t>
      </w:r>
      <w:r>
        <w:rPr>
          <w:rStyle w:val="Aucun"/>
          <w:rFonts w:ascii="Times New Roman" w:hAnsi="Times New Roman" w:hint="default"/>
          <w:outline w:val="0"/>
          <w:color w:val="1f1f1e"/>
          <w:sz w:val="19"/>
          <w:szCs w:val="1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     </w:t>
      </w:r>
      <w:r>
        <w:rPr>
          <w:rStyle w:val="Aucun"/>
          <w:rFonts w:ascii="Helvetica" w:hAnsi="Helvetica"/>
          <w:outline w:val="0"/>
          <w:color w:val="1f1f1e"/>
          <w:sz w:val="28"/>
          <w:szCs w:val="28"/>
          <w:u w:val="singl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2</w:t>
      </w:r>
      <w:r>
        <w:rPr>
          <w:rStyle w:val="Aucun"/>
          <w:rFonts w:ascii="Helvetica" w:hAnsi="Helvetica" w:hint="default"/>
          <w:outline w:val="0"/>
          <w:color w:val="1f1f1e"/>
          <w:sz w:val="23"/>
          <w:szCs w:val="23"/>
          <w:u w:val="single"/>
          <w:shd w:val="clear" w:color="auto" w:fill="ffffff"/>
          <w:vertAlign w:val="superscript"/>
          <w:rtl w:val="0"/>
          <w:lang w:val="it-IT"/>
          <w14:textFill>
            <w14:solidFill>
              <w14:srgbClr w14:val="201F1E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1f1f1e"/>
          <w:sz w:val="23"/>
          <w:szCs w:val="23"/>
          <w:u w:val="single"/>
          <w:shd w:val="clear" w:color="auto" w:fill="ffffff"/>
          <w:vertAlign w:val="superscript"/>
          <w:rtl w:val="0"/>
          <w14:textFill>
            <w14:solidFill>
              <w14:srgbClr w14:val="201F1E"/>
            </w14:solidFill>
          </w14:textFill>
        </w:rPr>
        <w:t>me</w:t>
      </w:r>
      <w:r>
        <w:rPr>
          <w:rStyle w:val="Aucun"/>
          <w:rFonts w:ascii="Helvetica" w:hAnsi="Helvetica"/>
          <w:outline w:val="0"/>
          <w:color w:val="1f1f1e"/>
          <w:sz w:val="28"/>
          <w:szCs w:val="28"/>
          <w:u w:val="singl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rencontre</w:t>
      </w:r>
      <w:r>
        <w:rPr>
          <w:rStyle w:val="Aucun"/>
          <w:rFonts w:ascii="Helvetica" w:hAnsi="Helvetica" w:hint="default"/>
          <w:outline w:val="0"/>
          <w:color w:val="1f1f1e"/>
          <w:sz w:val="28"/>
          <w:szCs w:val="28"/>
          <w:u w:val="singl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Style w:val="Aucun"/>
          <w:rFonts w:ascii="Helvetica" w:hAnsi="Helvetica"/>
          <w:outline w:val="0"/>
          <w:color w:val="1f1f1e"/>
          <w:sz w:val="28"/>
          <w:szCs w:val="28"/>
          <w:u w:val="singl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: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un deuxi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è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me temps de cette pr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sentation consacr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aux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changes et aux diff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rentes lectures du texte choisi et des associations cliniques.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f1f1e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01F1E"/>
            </w14:solidFill>
          </w14:textFill>
        </w:rPr>
        <w:t>·</w:t>
      </w:r>
      <w:r>
        <w:rPr>
          <w:rStyle w:val="Aucun"/>
          <w:rFonts w:ascii="Times New Roman" w:hAnsi="Times New Roman" w:hint="default"/>
          <w:outline w:val="0"/>
          <w:color w:val="1f1f1e"/>
          <w:sz w:val="19"/>
          <w:szCs w:val="1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     </w:t>
      </w:r>
      <w:r>
        <w:rPr>
          <w:rStyle w:val="Aucun"/>
          <w:rFonts w:ascii="Helvetica" w:hAnsi="Helvetica"/>
          <w:outline w:val="0"/>
          <w:color w:val="1f1f1e"/>
          <w:sz w:val="28"/>
          <w:szCs w:val="28"/>
          <w:u w:val="singl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Autre expos</w:t>
      </w:r>
      <w:r>
        <w:rPr>
          <w:rStyle w:val="Aucun"/>
          <w:rFonts w:ascii="Helvetica" w:hAnsi="Helvetica" w:hint="default"/>
          <w:outline w:val="0"/>
          <w:color w:val="1f1f1e"/>
          <w:sz w:val="28"/>
          <w:szCs w:val="28"/>
          <w:u w:val="singl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1f1f1e"/>
          <w:sz w:val="28"/>
          <w:szCs w:val="28"/>
          <w:u w:val="singl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Style w:val="Aucun"/>
          <w:rFonts w:ascii="Helvetica" w:hAnsi="Helvetica" w:hint="default"/>
          <w:outline w:val="0"/>
          <w:color w:val="1f1f1e"/>
          <w:sz w:val="28"/>
          <w:szCs w:val="28"/>
          <w:u w:val="singl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1f1f1e"/>
          <w:sz w:val="28"/>
          <w:szCs w:val="28"/>
          <w:u w:val="singl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partir d</w:t>
      </w:r>
      <w:r>
        <w:rPr>
          <w:rStyle w:val="Aucun"/>
          <w:rFonts w:ascii="Helvetica" w:hAnsi="Helvetica" w:hint="default"/>
          <w:outline w:val="0"/>
          <w:color w:val="1f1f1e"/>
          <w:sz w:val="28"/>
          <w:szCs w:val="28"/>
          <w:u w:val="single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1f1f1e"/>
          <w:sz w:val="28"/>
          <w:szCs w:val="28"/>
          <w:u w:val="singl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une autre question clinique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et mouvement de mise au travail th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orico -clinique.</w:t>
      </w:r>
    </w:p>
    <w:p>
      <w:pPr>
        <w:pStyle w:val="Par défaut"/>
        <w:bidi w:val="0"/>
        <w:spacing w:before="0" w:line="240" w:lineRule="auto"/>
        <w:ind w:left="1440" w:right="0" w:hanging="144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Pour 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inscrire, 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adresser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01F1E"/>
            </w14:solidFill>
          </w14:textFill>
        </w:rPr>
        <w:t>Nicole Auffret.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T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l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phone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: 0666064605.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Le lieu reste 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d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finir.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Les dates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: le troisi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è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me mercredi du mois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les 19 octobre, 16 Novembre 2022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18 Janvier 2023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15 F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é</w:t>
      </w: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vrier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01F1E"/>
            </w14:solidFill>
          </w14:textFill>
        </w:rPr>
        <w:t>15 Mars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19 avril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21 Juin</w:t>
      </w:r>
      <w:r>
        <w:rPr>
          <w:rFonts w:ascii="Helvetica" w:hAnsi="Helvetica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